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ld" w:hAnsi="SuisseIntl-Bold" w:cs="SuisseIntl-Bold"/>
          <w:b/>
          <w:bCs/>
          <w:kern w:val="0"/>
          <w:sz w:val="42"/>
          <w:szCs w:val="42"/>
        </w:rPr>
      </w:pPr>
      <w:r>
        <w:rPr>
          <w:rFonts w:ascii="SuisseIntl-Bold" w:hAnsi="SuisseIntl-Bold" w:cs="SuisseIntl-Bold"/>
          <w:b/>
          <w:bCs/>
          <w:kern w:val="0"/>
          <w:sz w:val="42"/>
          <w:szCs w:val="42"/>
        </w:rPr>
        <w:t>Jaarcijfers AFC</w:t>
      </w:r>
      <w:r>
        <w:rPr>
          <w:rFonts w:ascii="SuisseIntl-Bold" w:hAnsi="SuisseIntl-Bold" w:cs="SuisseIntl-Bold"/>
          <w:b/>
          <w:bCs/>
          <w:kern w:val="0"/>
          <w:sz w:val="42"/>
          <w:szCs w:val="42"/>
        </w:rPr>
        <w:t xml:space="preserve"> </w:t>
      </w:r>
      <w:r>
        <w:rPr>
          <w:rFonts w:ascii="SuisseIntl-Bold" w:hAnsi="SuisseIntl-Bold" w:cs="SuisseIntl-Bold"/>
          <w:b/>
          <w:bCs/>
          <w:kern w:val="0"/>
          <w:sz w:val="42"/>
          <w:szCs w:val="42"/>
        </w:rPr>
        <w:t>AJAX NV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Amsterdam, 29 september 2023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ld" w:hAnsi="SuisseIntl-Bold" w:cs="SuisseIntl-Bold"/>
          <w:b/>
          <w:bCs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ld" w:hAnsi="SuisseIntl-Bold" w:cs="SuisseIntl-Bold"/>
          <w:b/>
          <w:bCs/>
          <w:kern w:val="0"/>
          <w:sz w:val="16"/>
          <w:szCs w:val="16"/>
        </w:rPr>
      </w:pPr>
      <w:r>
        <w:rPr>
          <w:rFonts w:ascii="SuisseIntl-Bold" w:hAnsi="SuisseIntl-Bold" w:cs="SuisseIntl-Bold"/>
          <w:b/>
          <w:bCs/>
          <w:kern w:val="0"/>
          <w:sz w:val="16"/>
          <w:szCs w:val="16"/>
        </w:rPr>
        <w:t>Ajax boekt een nettowinst van € 39,0 miljoen over het</w:t>
      </w:r>
      <w:r>
        <w:rPr>
          <w:rFonts w:ascii="SuisseIntl-Bold" w:hAnsi="SuisseIntl-Bold" w:cs="SuisseIntl-Bold"/>
          <w:b/>
          <w:bCs/>
          <w:kern w:val="0"/>
          <w:sz w:val="16"/>
          <w:szCs w:val="16"/>
        </w:rPr>
        <w:t xml:space="preserve"> </w:t>
      </w:r>
      <w:r>
        <w:rPr>
          <w:rFonts w:ascii="SuisseIntl-Bold" w:hAnsi="SuisseIntl-Bold" w:cs="SuisseIntl-Bold"/>
          <w:b/>
          <w:bCs/>
          <w:kern w:val="0"/>
          <w:sz w:val="16"/>
          <w:szCs w:val="16"/>
        </w:rPr>
        <w:t>boekjaar 2022/2023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Ondanks tegenvallende sportieve resultaten boekt AFC Ajax een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nettowinst van € 39,0 miljoen over het boekjaar 2022/2023. De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stijging van € 63,3 miljoen van de nettowinst, ten opzichte van het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seizoen 2021/2022, is voornamelijk het gevolg van een aantal grote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transfers in de zomer van 2022 met een resultaat uit transfers van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€ 113,3 miljoen. In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t</w:t>
      </w:r>
      <w:r>
        <w:rPr>
          <w:rFonts w:ascii="SuisseIntl-Book" w:hAnsi="SuisseIntl-Book" w:cs="SuisseIntl-Book"/>
          <w:kern w:val="0"/>
          <w:sz w:val="16"/>
          <w:szCs w:val="16"/>
        </w:rPr>
        <w:t>egenstelling tot vorige seizoenen heeft corona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geen impact meer gehad op de financiële resultaten.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Sportief gezien verliep het seizoen 2022/2023 voor Ajax 1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teleurstellend. Het team eindigde op de derde plek in de groepsfase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van de UEFA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Champions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League en kwalificeerde zich daarmee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voor de knock-outfase van de UEFA Europa League. Daarin bleek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het Duitse Union Berlin te sterk. Het eredivisieseizoen werd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afgesloten met een derde plek waardoor het team zich plaatst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– na winst in de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play-offs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– voor de groepsfase van de Europa League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in 2023/2024. Tenslotte werd de finale van de KNVB Beker bereikt.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De Ajax Vrouwen kenden een succesvol seizoen door het behalen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van hun derde landskampioenschap. Daarnaast werd de finale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van de Eredivisie Cup behaald. In de voorronden van de UEFA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Champions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League moesten de Ajax Vrouwen na winst op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Kristianstads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DFF en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Eintracht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Frankfurt hun meerdere erkennen in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Europees zwaargewicht Arsenal FC.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SemiBold" w:hAnsi="SuisseIntl-SemiBold" w:cs="SuisseIntl-SemiBold"/>
          <w:b/>
          <w:bCs/>
          <w:kern w:val="0"/>
          <w:sz w:val="26"/>
          <w:szCs w:val="2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SemiBold" w:hAnsi="SuisseIntl-SemiBold" w:cs="SuisseIntl-SemiBold"/>
          <w:b/>
          <w:bCs/>
          <w:kern w:val="0"/>
          <w:sz w:val="26"/>
          <w:szCs w:val="26"/>
        </w:rPr>
      </w:pPr>
      <w:r>
        <w:rPr>
          <w:rFonts w:ascii="SuisseIntl-SemiBold" w:hAnsi="SuisseIntl-SemiBold" w:cs="SuisseIntl-SemiBold"/>
          <w:b/>
          <w:bCs/>
          <w:kern w:val="0"/>
          <w:sz w:val="26"/>
          <w:szCs w:val="26"/>
        </w:rPr>
        <w:t>Kerncijfers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De netto-omzet steeg met 4% naar € 196,3 miljoen. De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fors lagere Europese premies werden gecompenseerd door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extra inkomsten uit kaartverkoop ten opzichte van het seizoen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2021/2022 (destijds werden enkele wedstrijden zonder publiek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gespeeld door coronamaatregelen) en door de gestegen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commerciële inkomsten.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De kosten daalden met 3% naar € 191,6 miljoen voornamelijk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door een daling van de salariskosten als het gevolg van het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niet uitkeren van sportieve premies door de teleurstellende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sportieve resultaten.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De operationele winst bedraagt dit boekjaar derhalve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€ 4,7 miljoen, tegenover een operationeel verlies van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€ 7,6 miljoen in 2021/2022.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Het resultaat uit transfers van spelers bedraagt € 113,3 miljoen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met name als gevolg van de transfers van </w:t>
      </w:r>
      <w:proofErr w:type="spellStart"/>
      <w:r w:rsidRPr="00A974F3">
        <w:rPr>
          <w:rFonts w:ascii="SuisseIntl-Book" w:hAnsi="SuisseIntl-Book" w:cs="SuisseIntl-Book"/>
          <w:kern w:val="0"/>
          <w:sz w:val="16"/>
          <w:szCs w:val="16"/>
        </w:rPr>
        <w:t>Antony</w:t>
      </w:r>
      <w:proofErr w:type="spellEnd"/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dos Santos en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 w:rsidRPr="00A974F3">
        <w:rPr>
          <w:rFonts w:ascii="SuisseIntl-Book" w:hAnsi="SuisseIntl-Book" w:cs="SuisseIntl-Book"/>
          <w:kern w:val="0"/>
          <w:sz w:val="16"/>
          <w:szCs w:val="16"/>
        </w:rPr>
        <w:t>Lisandro</w:t>
      </w:r>
      <w:proofErr w:type="spellEnd"/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 w:rsidRPr="00A974F3">
        <w:rPr>
          <w:rFonts w:ascii="SuisseIntl-Book" w:hAnsi="SuisseIntl-Book" w:cs="SuisseIntl-Book"/>
          <w:kern w:val="0"/>
          <w:sz w:val="16"/>
          <w:szCs w:val="16"/>
        </w:rPr>
        <w:t>Martínez</w:t>
      </w:r>
      <w:proofErr w:type="spellEnd"/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naar Manchester United en </w:t>
      </w:r>
      <w:proofErr w:type="spellStart"/>
      <w:r w:rsidRPr="00A974F3">
        <w:rPr>
          <w:rFonts w:ascii="SuisseIntl-Book" w:hAnsi="SuisseIntl-Book" w:cs="SuisseIntl-Book"/>
          <w:kern w:val="0"/>
          <w:sz w:val="16"/>
          <w:szCs w:val="16"/>
        </w:rPr>
        <w:t>Sébastien</w:t>
      </w:r>
      <w:proofErr w:type="spellEnd"/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 w:rsidRPr="00A974F3">
        <w:rPr>
          <w:rFonts w:ascii="SuisseIntl-Book" w:hAnsi="SuisseIntl-Book" w:cs="SuisseIntl-Book"/>
          <w:kern w:val="0"/>
          <w:sz w:val="16"/>
          <w:szCs w:val="16"/>
        </w:rPr>
        <w:t>Haller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naar </w:t>
      </w:r>
      <w:proofErr w:type="spellStart"/>
      <w:r w:rsidRPr="00A974F3">
        <w:rPr>
          <w:rFonts w:ascii="SuisseIntl-Book" w:hAnsi="SuisseIntl-Book" w:cs="SuisseIntl-Book"/>
          <w:kern w:val="0"/>
          <w:sz w:val="16"/>
          <w:szCs w:val="16"/>
        </w:rPr>
        <w:t>Borussia</w:t>
      </w:r>
      <w:proofErr w:type="spellEnd"/>
      <w:r w:rsidRPr="00A974F3">
        <w:rPr>
          <w:rFonts w:ascii="SuisseIntl-Book" w:hAnsi="SuisseIntl-Book" w:cs="SuisseIntl-Book"/>
          <w:kern w:val="0"/>
          <w:sz w:val="16"/>
          <w:szCs w:val="16"/>
        </w:rPr>
        <w:t xml:space="preserve"> Dortmund.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De nettowinst bedraagt € 39,0 miljoen. In het seizoen 2021/2022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was dit een nettoverlies van € 24,3 miljoen.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Na toevoeging van het resultaat van € 39,0 miljoen bedraagt het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totaal eigen vermogen € 236,6 miljoen.</w:t>
      </w:r>
    </w:p>
    <w:p w:rsidR="00A974F3" w:rsidRPr="00A974F3" w:rsidRDefault="00A974F3" w:rsidP="00A974F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 w:rsidRPr="00A974F3">
        <w:rPr>
          <w:rFonts w:ascii="SuisseIntl-Book" w:hAnsi="SuisseIntl-Book" w:cs="SuisseIntl-Book"/>
          <w:kern w:val="0"/>
          <w:sz w:val="16"/>
          <w:szCs w:val="16"/>
        </w:rPr>
        <w:t>De directie en de Raad van Commissarissen stellen voor een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 w:rsidRPr="00A974F3">
        <w:rPr>
          <w:rFonts w:ascii="SuisseIntl-Book" w:hAnsi="SuisseIntl-Book" w:cs="SuisseIntl-Book"/>
          <w:kern w:val="0"/>
          <w:sz w:val="16"/>
          <w:szCs w:val="16"/>
        </w:rPr>
        <w:t>dividend uit te keren van negen eurocent per aandeel.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Ajax plaatste zich voor het seizoen 2023/2024 voor de groepsfase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van de UEFA Europa League (na winst in de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play-offs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in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augustus 2023). In het boekjaar 2023/2024 hebben bovendien de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transfers plaatsgevonden van onder anderen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Jurriën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Timber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>, Edson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Álvarez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, Calvin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Bassey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en Mohammed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Kudus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>. Mede door deze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reeds gerealiseerde transferresultaten verwacht Ajax een positief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nettoresultaat voor het boekjaar 2023/2024.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KPMG verricht als forensisch accountant onderzoek naar de rol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en de belangen van de vertrokken directeur voetbalzaken Sven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proofErr w:type="spellStart"/>
      <w:r>
        <w:rPr>
          <w:rFonts w:ascii="SuisseIntl-Book" w:hAnsi="SuisseIntl-Book" w:cs="SuisseIntl-Book"/>
          <w:kern w:val="0"/>
          <w:sz w:val="16"/>
          <w:szCs w:val="16"/>
        </w:rPr>
        <w:t>Mislintat</w:t>
      </w:r>
      <w:proofErr w:type="spellEnd"/>
      <w:r>
        <w:rPr>
          <w:rFonts w:ascii="SuisseIntl-Book" w:hAnsi="SuisseIntl-Book" w:cs="SuisseIntl-Book"/>
          <w:kern w:val="0"/>
          <w:sz w:val="16"/>
          <w:szCs w:val="16"/>
        </w:rPr>
        <w:t xml:space="preserve"> bij specifieke transacties gedurende de periode waarin hij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bij Ajax in dienst was, onder de uiteindelijke verantwoordelijkheid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van de RvC.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B254F6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Het volgende financieel overzicht heeft betrekking op de periode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van 1 juli 2022 tot en met 30 juni 2023 en wordt </w:t>
      </w:r>
      <w:r>
        <w:rPr>
          <w:rFonts w:ascii="SuisseIntl-Book" w:hAnsi="SuisseIntl-Book" w:cs="SuisseIntl-Book"/>
          <w:kern w:val="0"/>
          <w:sz w:val="16"/>
          <w:szCs w:val="16"/>
        </w:rPr>
        <w:t>v</w:t>
      </w:r>
      <w:r>
        <w:rPr>
          <w:rFonts w:ascii="SuisseIntl-Book" w:hAnsi="SuisseIntl-Book" w:cs="SuisseIntl-Book"/>
          <w:kern w:val="0"/>
          <w:sz w:val="16"/>
          <w:szCs w:val="16"/>
        </w:rPr>
        <w:t>ergeleken met de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periode 1 juli 2021 tot en met 30 juni 2022.</w:t>
      </w:r>
    </w:p>
    <w:p w:rsidR="00A974F3" w:rsidRDefault="00A974F3" w:rsidP="00A974F3">
      <w:pPr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SemiBold" w:hAnsi="SuisseIntl-SemiBold" w:cs="SuisseIntl-SemiBold"/>
          <w:b/>
          <w:bCs/>
          <w:kern w:val="0"/>
          <w:sz w:val="26"/>
          <w:szCs w:val="26"/>
        </w:rPr>
      </w:pPr>
      <w:r>
        <w:rPr>
          <w:rFonts w:ascii="SuisseIntl-SemiBold" w:hAnsi="SuisseIntl-SemiBold" w:cs="SuisseIntl-SemiBold"/>
          <w:b/>
          <w:bCs/>
          <w:kern w:val="0"/>
          <w:sz w:val="26"/>
          <w:szCs w:val="26"/>
        </w:rPr>
        <w:t>Toelichting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De volledige jaarlijkse financiële verslaglegging per 30 juni 2023,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inclusief de toelichting op de jaarrekening, is te vinden op ajax.nl.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ld" w:hAnsi="SuisseIntl-Bold" w:cs="SuisseIntl-Bold"/>
          <w:b/>
          <w:bCs/>
          <w:kern w:val="0"/>
          <w:sz w:val="16"/>
          <w:szCs w:val="16"/>
        </w:rPr>
      </w:pPr>
      <w:r>
        <w:rPr>
          <w:rFonts w:ascii="SuisseIntl-Bold" w:hAnsi="SuisseIntl-Bold" w:cs="SuisseIntl-Bold"/>
          <w:b/>
          <w:bCs/>
          <w:kern w:val="0"/>
          <w:sz w:val="16"/>
          <w:szCs w:val="16"/>
        </w:rPr>
        <w:t>Amsterdam, 29 september 2023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Dit persbericht is opgesteld op basis van het jaarverslag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2022/2023 van AFC Ajax NV. Deloitte Accountants B.V. heeft op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29 september 2023 een goedkeurende accountantsverklaring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afgegeven over dit jaarverslag. De jaarrekening dient nog te worden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vastgesteld door de Algemene Vergadering van Aandeelhouders.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</w:p>
    <w:p w:rsidR="00A974F3" w:rsidRP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i/>
          <w:iCs/>
          <w:kern w:val="0"/>
          <w:sz w:val="17"/>
          <w:szCs w:val="17"/>
        </w:rPr>
      </w:pPr>
      <w:r w:rsidRPr="00A974F3">
        <w:rPr>
          <w:rFonts w:ascii="SuisseIntl-Book" w:hAnsi="SuisseIntl-Book" w:cs="SuisseIntl-Book"/>
          <w:i/>
          <w:iCs/>
          <w:kern w:val="0"/>
          <w:sz w:val="17"/>
          <w:szCs w:val="17"/>
        </w:rPr>
        <w:t>Algemene Vergadering van Aandeelhouders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  <w:rPr>
          <w:rFonts w:ascii="SuisseIntl-Book" w:hAnsi="SuisseIntl-Book" w:cs="SuisseIntl-Book"/>
          <w:kern w:val="0"/>
          <w:sz w:val="16"/>
          <w:szCs w:val="16"/>
        </w:rPr>
      </w:pPr>
      <w:r>
        <w:rPr>
          <w:rFonts w:ascii="SuisseIntl-Book" w:hAnsi="SuisseIntl-Book" w:cs="SuisseIntl-Book"/>
          <w:kern w:val="0"/>
          <w:sz w:val="16"/>
          <w:szCs w:val="16"/>
        </w:rPr>
        <w:t>De oproep tot bijwoning van de Algemene Vergadering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van Aandeelhouders (AVA) zal geschieden uiterlijk op de</w:t>
      </w:r>
    </w:p>
    <w:p w:rsidR="00A974F3" w:rsidRDefault="00A974F3" w:rsidP="00A974F3">
      <w:pPr>
        <w:autoSpaceDE w:val="0"/>
        <w:autoSpaceDN w:val="0"/>
        <w:adjustRightInd w:val="0"/>
        <w:spacing w:after="0" w:line="240" w:lineRule="auto"/>
      </w:pPr>
      <w:r>
        <w:rPr>
          <w:rFonts w:ascii="SuisseIntl-Book" w:hAnsi="SuisseIntl-Book" w:cs="SuisseIntl-Book"/>
          <w:kern w:val="0"/>
          <w:sz w:val="16"/>
          <w:szCs w:val="16"/>
        </w:rPr>
        <w:t>tweeënveertigste dag voor de vergadering door middel van een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aankondiging op de website van de vennootschap (www.ajax.nl). De</w:t>
      </w:r>
      <w:r>
        <w:rPr>
          <w:rFonts w:ascii="SuisseIntl-Book" w:hAnsi="SuisseIntl-Book" w:cs="SuisseIntl-Book"/>
          <w:kern w:val="0"/>
          <w:sz w:val="16"/>
          <w:szCs w:val="16"/>
        </w:rPr>
        <w:t xml:space="preserve"> </w:t>
      </w:r>
      <w:r>
        <w:rPr>
          <w:rFonts w:ascii="SuisseIntl-Book" w:hAnsi="SuisseIntl-Book" w:cs="SuisseIntl-Book"/>
          <w:kern w:val="0"/>
          <w:sz w:val="16"/>
          <w:szCs w:val="16"/>
        </w:rPr>
        <w:t>AVA wordt gehouden op 17 november 2023 om 14.00 uur.</w:t>
      </w:r>
    </w:p>
    <w:sectPr w:rsidR="00A9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isseIntl-Bold">
    <w:panose1 w:val="020B0804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Intl-Book">
    <w:panose1 w:val="020B0504000000000000"/>
    <w:charset w:val="00"/>
    <w:family w:val="swiss"/>
    <w:notTrueType/>
    <w:pitch w:val="default"/>
    <w:sig w:usb0="00000003" w:usb1="00000000" w:usb2="00000000" w:usb3="00000000" w:csb0="00000001" w:csb1="00000000"/>
  </w:font>
  <w:font w:name="SuisseIntl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04E7A"/>
    <w:multiLevelType w:val="hybridMultilevel"/>
    <w:tmpl w:val="C720A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F3"/>
    <w:rsid w:val="00A974F3"/>
    <w:rsid w:val="00B254F6"/>
    <w:rsid w:val="00B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D707"/>
  <w15:chartTrackingRefBased/>
  <w15:docId w15:val="{2DF28A0A-6D3D-442B-9348-B0A2BB1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Ali</dc:creator>
  <cp:keywords/>
  <dc:description/>
  <cp:lastModifiedBy>Shareen Ali</cp:lastModifiedBy>
  <cp:revision>1</cp:revision>
  <dcterms:created xsi:type="dcterms:W3CDTF">2023-09-29T13:52:00Z</dcterms:created>
  <dcterms:modified xsi:type="dcterms:W3CDTF">2023-09-29T14:02:00Z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36ac29-dd8c-4af4-8c4d-d890f8553874_Enabled">
    <vt:lpwstr>true</vt:lpwstr>
  </property>
  <property fmtid="{D5CDD505-2E9C-101B-9397-08002B2CF9AE}" pid="3" name="MSIP_Label_bd36ac29-dd8c-4af4-8c4d-d890f8553874_SetDate">
    <vt:lpwstr>2023-09-29T14:02:13Z</vt:lpwstr>
  </property>
  <property fmtid="{D5CDD505-2E9C-101B-9397-08002B2CF9AE}" pid="4" name="MSIP_Label_bd36ac29-dd8c-4af4-8c4d-d890f8553874_Method">
    <vt:lpwstr>Standard</vt:lpwstr>
  </property>
  <property fmtid="{D5CDD505-2E9C-101B-9397-08002B2CF9AE}" pid="5" name="MSIP_Label_bd36ac29-dd8c-4af4-8c4d-d890f8553874_Name">
    <vt:lpwstr>defa4170-0d19-0005-0004-bc88714345d2</vt:lpwstr>
  </property>
  <property fmtid="{D5CDD505-2E9C-101B-9397-08002B2CF9AE}" pid="6" name="MSIP_Label_bd36ac29-dd8c-4af4-8c4d-d890f8553874_SiteId">
    <vt:lpwstr>3a442aa2-eaad-499e-b31b-1c945f33871f</vt:lpwstr>
  </property>
  <property fmtid="{D5CDD505-2E9C-101B-9397-08002B2CF9AE}" pid="7" name="MSIP_Label_bd36ac29-dd8c-4af4-8c4d-d890f8553874_ActionId">
    <vt:lpwstr>290561a6-84d1-41c0-aaa8-2c6b0dca0742</vt:lpwstr>
  </property>
  <property fmtid="{D5CDD505-2E9C-101B-9397-08002B2CF9AE}" pid="8" name="MSIP_Label_bd36ac29-dd8c-4af4-8c4d-d890f8553874_ContentBits">
    <vt:lpwstr>0</vt:lpwstr>
  </property>
</Properties>
</file>